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center"/>
        <w:rPr>
          <w:color w:val="auto"/>
        </w:rPr>
      </w:pPr>
      <w:r>
        <w:rPr>
          <w:rFonts w:ascii="Times New Roman" w:eastAsia="Times New Roman" w:hAnsi="Times New Roman"/>
          <w:color w:val="auto"/>
          <w:sz w:val="28"/>
          <w:szCs w:val="28"/>
          <w:rtl w:val="off"/>
        </w:rPr>
        <w:t xml:space="preserve">Перечень </w:t>
      </w:r>
      <w:r>
        <w:rPr>
          <w:rFonts w:ascii="Times New Roman" w:eastAsia="Times New Roman" w:hAnsi="Times New Roman" w:hint="default"/>
          <w:color w:val="auto"/>
          <w:sz w:val="28"/>
          <w:szCs w:val="28"/>
        </w:rPr>
        <w:t>нормативных правовых и иных актов, регулирующих вопросы применения ответственности</w:t>
      </w:r>
      <w:r>
        <w:rPr>
          <w:rFonts w:ascii="Times New Roman" w:eastAsia="Times New Roman" w:hAnsi="Times New Roman" w:hint="default"/>
          <w:color w:val="auto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color w:val="auto"/>
          <w:sz w:val="28"/>
          <w:szCs w:val="28"/>
        </w:rPr>
        <w:t>за совершение коррупционных правонарушений</w:t>
      </w:r>
    </w:p>
    <w:p>
      <w:pPr>
        <w:ind w:firstLine="0"/>
        <w:jc w:val="center"/>
        <w:rPr>
          <w:color w:val="auto"/>
        </w:rPr>
      </w:pPr>
    </w:p>
    <w:p>
      <w:pPr>
        <w:pStyle w:val="Standard"/>
        <w:ind w:leftChars="183" w:left="367"/>
        <w:jc w:val="both"/>
        <w:numPr>
          <w:ilvl w:val="0"/>
          <w:numId w:val="1"/>
        </w:numPr>
        <w:spacing w:after="0" w:before="0" w:line="240" w:lineRule="auto"/>
        <w:rPr>
          <w:rFonts w:ascii="Arial" w:eastAsia="Arial" w:cs="Arial"/>
          <w:b w:val="0"/>
          <w:bCs w:val="0"/>
          <w:color w:val="auto"/>
          <w:sz w:val="24"/>
          <w:szCs w:val="24"/>
          <w:highlight w:val="none"/>
          <w:spacing w:val="0"/>
        </w:rPr>
      </w:pPr>
      <w:r>
        <w:rPr>
          <w:rFonts w:ascii="Arial" w:eastAsia="Arial" w:cs="Arial"/>
          <w:b w:val="0"/>
          <w:bCs w:val="0"/>
          <w:color w:val="auto"/>
          <w:sz w:val="24"/>
          <w:szCs w:val="24"/>
          <w:highlight w:val="none"/>
          <w:spacing w:val="0"/>
        </w:rPr>
        <w:t>Уголовный кодекс Российской Федерации от 13.06.1996 № 63-ФЗ;</w:t>
      </w:r>
    </w:p>
    <w:p>
      <w:pPr>
        <w:pStyle w:val="Standard"/>
        <w:ind w:leftChars="183" w:left="367"/>
        <w:jc w:val="both"/>
        <w:numPr>
          <w:ilvl w:val="0"/>
          <w:numId w:val="1"/>
        </w:numPr>
        <w:spacing w:after="0" w:before="0" w:line="240" w:lineRule="auto"/>
        <w:rPr>
          <w:rFonts w:ascii="Arial" w:eastAsia="Arial" w:cs="Arial"/>
          <w:b w:val="0"/>
          <w:bCs w:val="0"/>
          <w:color w:val="auto"/>
          <w:sz w:val="24"/>
          <w:szCs w:val="24"/>
          <w:highlight w:val="none"/>
          <w:spacing w:val="0"/>
        </w:rPr>
      </w:pPr>
      <w:r>
        <w:rPr>
          <w:rFonts w:ascii="Arial" w:eastAsia="Arial" w:cs="Arial"/>
          <w:b w:val="0"/>
          <w:bCs w:val="0"/>
          <w:color w:val="auto"/>
          <w:sz w:val="24"/>
          <w:szCs w:val="24"/>
          <w:highlight w:val="none"/>
          <w:spacing w:val="0"/>
        </w:rPr>
        <w:t>Кодекс Российской Федерации об административных правонарушениях от 30.12.2001 № 195-ФЗ;</w:t>
      </w:r>
    </w:p>
    <w:p>
      <w:pPr>
        <w:pStyle w:val="Standard"/>
        <w:ind w:leftChars="183" w:left="367"/>
        <w:jc w:val="both"/>
        <w:numPr>
          <w:ilvl w:val="0"/>
          <w:numId w:val="1"/>
        </w:numPr>
        <w:spacing w:after="0" w:before="0" w:line="240" w:lineRule="auto"/>
        <w:rPr>
          <w:rFonts w:ascii="Arial" w:eastAsia="Arial" w:cs="Arial"/>
          <w:b w:val="0"/>
          <w:bCs w:val="0"/>
          <w:color w:val="auto"/>
          <w:sz w:val="24"/>
          <w:szCs w:val="24"/>
          <w:highlight w:val="none"/>
          <w:spacing w:val="0"/>
        </w:rPr>
      </w:pPr>
      <w:r>
        <w:rPr>
          <w:rFonts w:ascii="Arial" w:eastAsia="Arial" w:cs="Arial"/>
          <w:b w:val="0"/>
          <w:bCs w:val="0"/>
          <w:color w:val="auto"/>
          <w:sz w:val="24"/>
          <w:szCs w:val="24"/>
          <w:highlight w:val="none"/>
          <w:spacing w:val="0"/>
        </w:rPr>
        <w:t>Гражданский кодекс Российской Федерации от 26.01.1996 № 14-ФЗ (Часть 2);</w:t>
      </w:r>
    </w:p>
    <w:p>
      <w:pPr>
        <w:pStyle w:val="Standard"/>
        <w:ind w:leftChars="183" w:left="367"/>
        <w:jc w:val="both"/>
        <w:numPr>
          <w:ilvl w:val="0"/>
          <w:numId w:val="1"/>
        </w:numPr>
        <w:spacing w:after="0" w:before="0" w:line="240" w:lineRule="auto"/>
        <w:rPr>
          <w:rFonts w:ascii="Arial" w:eastAsia="Arial" w:cs="Arial"/>
          <w:b w:val="0"/>
          <w:bCs w:val="0"/>
          <w:color w:val="auto"/>
          <w:sz w:val="24"/>
          <w:szCs w:val="24"/>
          <w:highlight w:val="none"/>
          <w:spacing w:val="0"/>
        </w:rPr>
      </w:pPr>
      <w:r>
        <w:rPr>
          <w:rFonts w:ascii="Arial" w:eastAsia="Arial" w:cs="Arial"/>
          <w:b w:val="0"/>
          <w:bCs w:val="0"/>
          <w:color w:val="auto"/>
          <w:sz w:val="24"/>
          <w:szCs w:val="24"/>
          <w:highlight w:val="none"/>
          <w:spacing w:val="0"/>
        </w:rPr>
        <w:t>Федеральный закон от 27.07.2004 № 79-ФЗ «О государственной гражданской службе Российской Федерации»;</w:t>
      </w:r>
    </w:p>
    <w:p>
      <w:pPr>
        <w:pStyle w:val="Standard"/>
        <w:ind w:leftChars="183" w:left="367"/>
        <w:jc w:val="both"/>
        <w:numPr>
          <w:ilvl w:val="0"/>
          <w:numId w:val="1"/>
        </w:numPr>
        <w:spacing w:after="0" w:before="0" w:line="240" w:lineRule="auto"/>
        <w:rPr>
          <w:rFonts w:ascii="Arial" w:eastAsia="Arial" w:cs="Arial"/>
          <w:b w:val="0"/>
          <w:bCs w:val="0"/>
          <w:color w:val="auto"/>
          <w:sz w:val="24"/>
          <w:szCs w:val="24"/>
          <w:highlight w:val="none"/>
          <w:spacing w:val="0"/>
        </w:rPr>
      </w:pPr>
      <w:r>
        <w:rPr>
          <w:rFonts w:ascii="Arial" w:eastAsia="Arial" w:cs="Arial"/>
          <w:b w:val="0"/>
          <w:bCs w:val="0"/>
          <w:color w:val="auto"/>
          <w:sz w:val="24"/>
          <w:szCs w:val="24"/>
          <w:highlight w:val="none"/>
          <w:spacing w:val="0"/>
        </w:rPr>
        <w:t>Федеральный закон от 25.12.2008 № 273-ФЗ «О противодействии коррупции»;</w:t>
      </w:r>
    </w:p>
    <w:p>
      <w:pPr>
        <w:pStyle w:val="Standard"/>
        <w:ind w:leftChars="183" w:left="367"/>
        <w:jc w:val="both"/>
        <w:numPr>
          <w:ilvl w:val="0"/>
          <w:numId w:val="1"/>
        </w:numPr>
        <w:spacing w:after="0" w:before="0" w:line="240" w:lineRule="auto"/>
        <w:rPr>
          <w:rFonts w:ascii="Arial" w:eastAsia="Arial" w:cs="Arial"/>
          <w:b w:val="0"/>
          <w:bCs w:val="0"/>
          <w:color w:val="auto"/>
          <w:sz w:val="24"/>
          <w:szCs w:val="24"/>
          <w:highlight w:val="none"/>
          <w:spacing w:val="0"/>
        </w:rPr>
      </w:pPr>
      <w:r>
        <w:rPr>
          <w:rFonts w:ascii="Arial" w:eastAsia="Arial" w:cs="Arial"/>
          <w:b w:val="0"/>
          <w:bCs w:val="0"/>
          <w:color w:val="auto"/>
          <w:sz w:val="24"/>
          <w:szCs w:val="24"/>
          <w:highlight w:val="none"/>
          <w:spacing w:val="0"/>
        </w:rPr>
        <w:t>Постановление Пленума Верховного Суда РФ от 09.07.2013 № 24 «О судебной практике по делам о взяточничестве и об иных коррупционных преступлениях»;</w:t>
      </w:r>
    </w:p>
    <w:p>
      <w:pPr>
        <w:pStyle w:val="Standard"/>
        <w:ind w:leftChars="183" w:left="367"/>
        <w:jc w:val="both"/>
        <w:numPr>
          <w:ilvl w:val="0"/>
          <w:numId w:val="1"/>
        </w:numPr>
        <w:spacing w:after="0" w:before="0" w:line="240" w:lineRule="auto"/>
        <w:rPr>
          <w:lang w:val="en-US"/>
          <w:rFonts w:ascii="Arial" w:eastAsia="Arial" w:cs="Arial"/>
          <w:b w:val="0"/>
          <w:bCs w:val="0"/>
          <w:color w:val="auto"/>
          <w:sz w:val="24"/>
          <w:szCs w:val="24"/>
          <w:highlight w:val="none"/>
          <w:spacing w:val="0"/>
        </w:rPr>
      </w:pPr>
      <w:r>
        <w:rPr>
          <w:lang w:val="en-US"/>
          <w:rFonts w:ascii="Arial" w:eastAsia="Arial" w:cs="Arial"/>
          <w:b w:val="0"/>
          <w:bCs w:val="0"/>
          <w:color w:val="auto"/>
          <w:sz w:val="24"/>
          <w:szCs w:val="24"/>
          <w:highlight w:val="none"/>
          <w:spacing w:val="0"/>
        </w:rPr>
        <w:t>Обзор практики применения судами в 2014-2016 годах законодательства Российской Федерации при рассмотрении споров, связанных с наложением дисциплинарных взысканий за несоблюдение требований законодательства о противодействии коррупции (утвержден Президиумом Верховного Суда Российской Федерации от 30.11.2016);</w:t>
      </w:r>
    </w:p>
    <w:p>
      <w:pPr>
        <w:pStyle w:val="Standard"/>
        <w:ind w:leftChars="183" w:left="367"/>
        <w:widowControl/>
        <w:suppressAutoHyphens/>
        <w:jc w:val="both"/>
        <w:suppressAutoHyphens/>
        <w:numPr>
          <w:ilvl w:val="0"/>
          <w:numId w:val="1"/>
        </w:numPr>
        <w:spacing w:after="0" w:before="0" w:line="240" w:lineRule="auto"/>
        <w:rPr>
          <w:lang w:val="en-US"/>
          <w:rFonts w:ascii="Arial" w:eastAsia="Arial" w:cs="Arial"/>
          <w:b w:val="0"/>
          <w:bCs w:val="0"/>
          <w:color w:val="auto"/>
          <w:sz w:val="24"/>
          <w:szCs w:val="24"/>
          <w:highlight w:val="none"/>
          <w:spacing w:val="0"/>
        </w:rPr>
      </w:pPr>
      <w:r>
        <w:rPr>
          <w:lang w:val="en-US"/>
          <w:rFonts w:ascii="Arial" w:eastAsia="Arial" w:cs="Arial"/>
          <w:b w:val="0"/>
          <w:bCs w:val="0"/>
          <w:color w:val="auto"/>
          <w:sz w:val="24"/>
          <w:szCs w:val="24"/>
          <w:highlight w:val="none"/>
          <w:spacing w:val="0"/>
        </w:rPr>
        <w:t>Обзор судебной практики по делам о привлечении к административной ответственности, предусмотренной статьей 19.29 Кодекса Российской Федерации об административных правонарушениях(утвержден Президиумом Верховного Суда Российской Федерации от 30.11.2016);</w:t>
      </w:r>
    </w:p>
    <w:p>
      <w:pPr>
        <w:pStyle w:val="Standard"/>
        <w:ind w:leftChars="183" w:left="367"/>
        <w:widowControl/>
        <w:suppressAutoHyphens/>
        <w:jc w:val="both"/>
        <w:suppressAutoHyphens/>
        <w:numPr>
          <w:ilvl w:val="0"/>
          <w:numId w:val="1"/>
        </w:numPr>
        <w:spacing w:after="0" w:before="0" w:line="240" w:lineRule="auto"/>
        <w:rPr>
          <w:b w:val="0"/>
          <w:bCs w:val="0"/>
          <w:color w:val="auto"/>
          <w:highlight w:val="none"/>
        </w:rPr>
      </w:pPr>
      <w:r>
        <w:rPr>
          <w:rFonts w:ascii="Arial" w:eastAsia="Arial" w:cs="Arial"/>
          <w:b w:val="0"/>
          <w:bCs w:val="0"/>
          <w:color w:val="auto"/>
          <w:sz w:val="24"/>
          <w:szCs w:val="24"/>
          <w:highlight w:val="none"/>
          <w:spacing w:val="0"/>
        </w:rPr>
        <w:t>Письмо Министерства труда и социальной защиты Российской Федерации от 15.10.2012 № 18-2/10/1-2088 «Об обзоре типовых случаев конфликта интересов на государственной службе Российской Федерации и порядке их урегулирования»;</w:t>
      </w:r>
    </w:p>
    <w:p>
      <w:pPr>
        <w:pStyle w:val="Standard"/>
        <w:ind w:leftChars="183" w:left="367"/>
        <w:jc w:val="both"/>
        <w:numPr>
          <w:ilvl w:val="0"/>
          <w:numId w:val="1"/>
        </w:numPr>
        <w:spacing w:after="0" w:before="0" w:line="240" w:lineRule="auto"/>
        <w:rPr>
          <w:b w:val="0"/>
          <w:bCs w:val="0"/>
          <w:color w:val="auto"/>
          <w:highlight w:val="none"/>
        </w:rPr>
      </w:pPr>
      <w:r>
        <w:rPr>
          <w:rFonts w:ascii="Arial" w:eastAsia="Arial" w:cs="Arial"/>
          <w:b w:val="0"/>
          <w:bCs w:val="0"/>
          <w:color w:val="auto"/>
          <w:sz w:val="24"/>
          <w:szCs w:val="24"/>
          <w:highlight w:val="none"/>
          <w:spacing w:val="0"/>
        </w:rPr>
        <w:t>Письмо Министерства труда и социальной защиты Российской Федерации от 22.12.2012 № 17-1/10/1-248 «О разъяснении практики применения статьи 12 Федерального закона от 25 декабря 2008 г. № 273-ФЗ «О противодействии коррупции»;</w:t>
      </w:r>
    </w:p>
    <w:p>
      <w:pPr>
        <w:pStyle w:val="Standard"/>
        <w:ind w:leftChars="183" w:left="367"/>
        <w:widowControl/>
        <w:suppressAutoHyphens/>
        <w:jc w:val="both"/>
        <w:suppressAutoHyphens/>
        <w:numPr>
          <w:ilvl w:val="0"/>
          <w:numId w:val="1"/>
        </w:numPr>
        <w:spacing w:after="0" w:before="0" w:line="240" w:lineRule="auto"/>
        <w:rPr>
          <w:rFonts w:ascii="Arial" w:eastAsia="Arial" w:cs="Arial"/>
          <w:b w:val="0"/>
          <w:bCs w:val="0"/>
          <w:color w:val="auto"/>
          <w:sz w:val="24"/>
          <w:szCs w:val="24"/>
          <w:highlight w:val="none"/>
          <w:spacing w:val="0"/>
        </w:rPr>
      </w:pPr>
      <w:r>
        <w:rPr>
          <w:rFonts w:ascii="Arial" w:eastAsia="Arial" w:cs="Arial"/>
          <w:b w:val="0"/>
          <w:bCs w:val="0"/>
          <w:color w:val="auto"/>
          <w:sz w:val="24"/>
          <w:szCs w:val="24"/>
          <w:highlight w:val="none"/>
          <w:spacing w:val="0"/>
        </w:rPr>
        <w:t>Письмо Министерства труда и социальной защиты Российской Федерации от 19.03.2013 № 18-2/10/2-1490 «Комплекс мер, направленных на привлечение государственных и муниципальных служащих к противодействию коррупции»;</w:t>
      </w:r>
    </w:p>
    <w:p>
      <w:pPr>
        <w:pStyle w:val="Standard"/>
        <w:ind w:leftChars="183" w:left="367"/>
        <w:widowControl/>
        <w:suppressAutoHyphens/>
        <w:jc w:val="both"/>
        <w:suppressAutoHyphens/>
        <w:numPr>
          <w:ilvl w:val="0"/>
          <w:numId w:val="1"/>
        </w:numPr>
        <w:spacing w:after="0" w:before="0" w:line="240" w:lineRule="auto"/>
        <w:rPr>
          <w:rFonts w:ascii="Arial" w:eastAsia="Arial" w:cs="Arial"/>
          <w:b w:val="0"/>
          <w:bCs w:val="0"/>
          <w:color w:val="auto"/>
          <w:sz w:val="24"/>
          <w:szCs w:val="24"/>
          <w:highlight w:val="none"/>
          <w:spacing w:val="0"/>
        </w:rPr>
      </w:pPr>
      <w:r>
        <w:rPr>
          <w:rFonts w:ascii="Arial" w:eastAsia="Arial" w:cs="Arial"/>
          <w:b w:val="0"/>
          <w:bCs w:val="0"/>
          <w:color w:val="auto"/>
          <w:sz w:val="24"/>
          <w:szCs w:val="24"/>
          <w:highlight w:val="none"/>
          <w:spacing w:val="0"/>
        </w:rPr>
        <w:t>Методические рекомендации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утвержденные письмом Министерства труда и социальной защиты Российской Федерации от 13.11.2015 № 18-2/10/П-7073 «О критериях привлечения к ответственности за коррупционные правонарушения»;</w:t>
      </w:r>
    </w:p>
    <w:p>
      <w:pPr>
        <w:ind w:leftChars="-100" w:left="-200" w:firstLine="0"/>
        <w:rPr>
          <w:color w:val="auto"/>
        </w:rPr>
      </w:pPr>
      <w:r>
        <w:rPr>
          <w:rFonts w:ascii="Arial" w:eastAsia="Arial" w:cs="Arial"/>
          <w:b w:val="0"/>
          <w:bCs w:val="0"/>
          <w:color w:val="auto"/>
          <w:sz w:val="24"/>
          <w:szCs w:val="24"/>
          <w:highlight w:val="none"/>
          <w:spacing w:val="0"/>
        </w:rPr>
        <w:t>Обзор рекомендаций Министерства труда и социальной защиты Российской Федерации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взятку.</w:t>
      </w:r>
    </w:p>
    <w:sect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true"/>
    <w:sig w:usb0="E0002AFF" w:usb1="C0007843" w:usb2="00000009" w:usb3="00000001" w:csb0="400001FF" w:csb1="FFFF0000"/>
  </w:font>
  <w:font w:name="Symbol">
    <w:panose1 w:val="05050102010706020507"/>
    <w:notTrueType w:val="true"/>
    <w:sig w:usb0="00000001" w:usb1="00000001" w:usb2="00000001" w:usb3="00000001" w:csb0="80000000" w:csb1="00000001"/>
  </w:font>
  <w:font w:name="Liberation Serif, Times New Roman">
    <w:notTrueType w:val="false"/>
  </w:font>
  <w:font w:name="宋体">
    <w:panose1 w:val="02010600030101010101"/>
    <w:notTrueType w:val="true"/>
    <w:sig w:usb0="00000003" w:usb1="288F0000" w:usb2="00000006" w:usb3="00000001" w:csb0="00040001" w:csb1="00000001"/>
  </w:font>
  <w:font w:name="Mangal">
    <w:panose1 w:val="00000400000000000000"/>
    <w:notTrueType w:val="true"/>
    <w:sig w:usb0="00008000" w:usb1="00000001" w:usb2="00000001" w:usb3="00000001" w:csb0="00000001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hybridMultilevel"/>
    <w:lvl w:ilvl="0">
      <w:start w:val="1"/>
      <w:numFmt w:val="bullet"/>
      <w:lvlText w:val="."/>
      <w:lvlJc w:val="left"/>
      <w:pPr>
        <w:ind w:left="567" w:hanging="0"/>
        <w:tabs>
          <w:tab w:val="num"/>
        </w:tabs>
      </w:pPr>
      <w:rPr>
        <w:rFonts w:ascii="Symbol" w:hAnsi="Symbol"/>
      </w:rPr>
    </w:lvl>
    <w:lvl w:ilvl="1">
      <w:start w:val="1"/>
      <w:lvlText w:val="%2."/>
      <w:lvlJc w:val="left"/>
      <w:pPr>
        <w:ind w:left="567" w:hanging="0"/>
        <w:tabs>
          <w:tab w:val="num" w:pos="567"/>
        </w:tabs>
      </w:pPr>
    </w:lvl>
    <w:lvl w:ilvl="2">
      <w:start w:val="1"/>
      <w:lvlText w:val="%3."/>
      <w:lvlJc w:val="left"/>
      <w:pPr>
        <w:ind w:left="1134" w:hanging="0"/>
        <w:tabs>
          <w:tab w:val="num" w:pos="1134"/>
        </w:tabs>
      </w:pPr>
    </w:lvl>
    <w:lvl w:ilvl="3">
      <w:start w:val="1"/>
      <w:lvlText w:val="%4."/>
      <w:lvlJc w:val="left"/>
      <w:pPr>
        <w:ind w:left="1701" w:hanging="0"/>
        <w:tabs>
          <w:tab w:val="num" w:pos="1701"/>
        </w:tabs>
      </w:pPr>
    </w:lvl>
    <w:lvl w:ilvl="4">
      <w:start w:val="1"/>
      <w:lvlText w:val="%5."/>
      <w:lvlJc w:val="left"/>
      <w:pPr>
        <w:ind w:left="1701" w:hanging="0"/>
        <w:tabs>
          <w:tab w:val="num" w:pos="1701"/>
        </w:tabs>
      </w:pPr>
    </w:lvl>
    <w:lvl w:ilvl="5">
      <w:start w:val="1"/>
      <w:lvlText w:val="%6."/>
      <w:lvlJc w:val="left"/>
      <w:pPr>
        <w:ind w:left="2268" w:hanging="0"/>
        <w:tabs>
          <w:tab w:val="num" w:pos="2268"/>
        </w:tabs>
      </w:pPr>
    </w:lvl>
    <w:lvl w:ilvl="6">
      <w:start w:val="1"/>
      <w:lvlText w:val="%7."/>
      <w:lvlJc w:val="left"/>
      <w:pPr>
        <w:ind w:left="2835" w:hanging="0"/>
        <w:tabs>
          <w:tab w:val="num" w:pos="2835"/>
        </w:tabs>
      </w:pPr>
    </w:lvl>
    <w:lvl w:ilvl="7">
      <w:start w:val="1"/>
      <w:lvlText w:val="%8."/>
      <w:lvlJc w:val="left"/>
      <w:pPr>
        <w:ind w:left="2835" w:hanging="0"/>
        <w:tabs>
          <w:tab w:val="num" w:pos="2835"/>
        </w:tabs>
      </w:pPr>
    </w:lvl>
    <w:lvl w:ilvl="8">
      <w:start w:val="1"/>
      <w:lvlText w:val="%9."/>
      <w:lvlJc w:val="left"/>
      <w:pPr>
        <w:ind w:left="3402" w:hanging="0"/>
        <w:tabs>
          <w:tab w:val="num" w:pos="340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Standard">
    <w:name w:val="Standard"/>
    <w:pPr>
      <w:widowControl/>
      <w:suppressAutoHyphens/>
      <w:suppressAutoHyphens/>
      <w:rPr>
        <w:lang w:val="en-US" w:eastAsia="ko-KR" w:bidi="hi-IN"/>
        <w:rFonts w:ascii="Liberation Serif, Times New Roman" w:eastAsia="宋体" w:cs="Mangal"/>
        <w:color w:val="000000"/>
        <w:sz w:val="24"/>
        <w:szCs w:val="24"/>
        <w:kern w:val="1"/>
      </w:rPr>
    </w:pPr>
    <w:rPr>
      <w:lang w:val="en-US" w:eastAsia="ko-KR" w:bidi="hi-IN"/>
      <w:rFonts w:ascii="Liberation Serif, Times New Roman" w:eastAsia="宋体" w:cs="Mangal"/>
      <w:color w:val="000000"/>
      <w:sz w:val="24"/>
      <w:szCs w:val="24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created xsi:type="dcterms:W3CDTF">2017-08-05T08:53:14Z</dcterms:created>
  <dcterms:modified xsi:type="dcterms:W3CDTF">2017-08-05T09:01:11Z</dcterms:modified>
  <cp:version>0900.0000.01</cp:version>
</cp:coreProperties>
</file>